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541623BB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B349A3">
        <w:rPr>
          <w:rFonts w:ascii="Arial" w:hAnsi="Arial" w:cs="Arial"/>
          <w:b/>
          <w:bCs/>
          <w:sz w:val="32"/>
          <w:szCs w:val="32"/>
          <w:lang w:val="es-ES"/>
        </w:rPr>
        <w:t>2</w:t>
      </w:r>
    </w:p>
    <w:p w14:paraId="14540B30" w14:textId="773DE33C" w:rsidR="00E12281" w:rsidRPr="00426ADD" w:rsidRDefault="00E12281" w:rsidP="006F79F6">
      <w:pPr>
        <w:rPr>
          <w:rFonts w:ascii="Arial" w:hAnsi="Arial" w:cs="Arial"/>
          <w:b/>
          <w:bCs/>
          <w:lang w:val="es-ES"/>
        </w:rPr>
      </w:pPr>
    </w:p>
    <w:p w14:paraId="1C437AD9" w14:textId="7C14D454" w:rsidR="00E12281" w:rsidRPr="00426ADD" w:rsidRDefault="00B349A3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Común denominador: la posesión y las cosas objeto</w:t>
      </w:r>
    </w:p>
    <w:p w14:paraId="02E4A20E" w14:textId="3A9E089D" w:rsidR="00E12281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Las cosas pueden ser objeto tanto de derechos reales como de relaciones de poder</w:t>
      </w:r>
    </w:p>
    <w:p w14:paraId="052087E4" w14:textId="49747D18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El derecho real es un poder jurídico sobre una cosa</w:t>
      </w:r>
    </w:p>
    <w:p w14:paraId="4FDDF919" w14:textId="25D5BCA9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 relación de poder es el poder material sobre la cosa</w:t>
      </w:r>
    </w:p>
    <w:p w14:paraId="626ABC14" w14:textId="50A88AF4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Lo habitual es que las relaciones de poder deriven de un derecho (real o personal), pero muchas veces se dan escindidas de todo derecho</w:t>
      </w:r>
    </w:p>
    <w:p w14:paraId="0B470DE0" w14:textId="15D16348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 relaciones de poder son la posesión y la tenencia</w:t>
      </w:r>
    </w:p>
    <w:p w14:paraId="041DD800" w14:textId="5C9952D5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Las relaciones de poder deben ser objeto de prueba y solo en caso de duda o incertidumbre se aplican presunciones establecidas</w:t>
      </w:r>
    </w:p>
    <w:p w14:paraId="36288A7F" w14:textId="1FF32AB5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Las relaciones de poder se adquieren x tradición</w:t>
      </w:r>
    </w:p>
    <w:p w14:paraId="563D0E0A" w14:textId="4DA1AB21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Es posible unir posesiones</w:t>
      </w:r>
    </w:p>
    <w:p w14:paraId="7A918610" w14:textId="04CE2F92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Técnicamente no es posible ceder la posesión</w:t>
      </w:r>
    </w:p>
    <w:p w14:paraId="2A3C7DAC" w14:textId="24112C82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La diversidad de actos posesorios dependerá del tipo de derecho real a usucapir y del tipo de cosa objeto</w:t>
      </w:r>
    </w:p>
    <w:p w14:paraId="1324E4B7" w14:textId="7C710CCF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Ciertos derechos reales sobre cierta clase de cosas no se pueden usucapir</w:t>
      </w:r>
    </w:p>
    <w:p w14:paraId="1F62B62B" w14:textId="4444D926" w:rsidR="00B349A3" w:rsidRDefault="00B349A3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B349A3">
        <w:rPr>
          <w:rFonts w:ascii="Arial" w:hAnsi="Arial" w:cs="Arial"/>
          <w:lang w:val="es-ES"/>
        </w:rPr>
        <w:t>Ciertas calidades de la posesión condicionan la suerte de la usucapión (buena o mala fe, legitimidad o ilegiti</w:t>
      </w:r>
      <w:r>
        <w:rPr>
          <w:rFonts w:ascii="Arial" w:hAnsi="Arial" w:cs="Arial"/>
          <w:lang w:val="es-ES"/>
        </w:rPr>
        <w:t>mi</w:t>
      </w:r>
      <w:r w:rsidRPr="00B349A3">
        <w:rPr>
          <w:rFonts w:ascii="Arial" w:hAnsi="Arial" w:cs="Arial"/>
          <w:lang w:val="es-ES"/>
        </w:rPr>
        <w:t>dad)</w:t>
      </w:r>
    </w:p>
    <w:sectPr w:rsidR="00B349A3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5235618">
    <w:abstractNumId w:val="0"/>
  </w:num>
  <w:num w:numId="2" w16cid:durableId="1338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426ADD"/>
    <w:rsid w:val="00594F61"/>
    <w:rsid w:val="006F79F6"/>
    <w:rsid w:val="00874BEA"/>
    <w:rsid w:val="00B349A3"/>
    <w:rsid w:val="00E12281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2023-05-31T19:38:00Z</dcterms:created>
  <dcterms:modified xsi:type="dcterms:W3CDTF">2023-05-31T19:43:00Z</dcterms:modified>
</cp:coreProperties>
</file>