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57AC" w14:textId="0B8715E9" w:rsidR="00FF1CA5" w:rsidRPr="006F79F6" w:rsidRDefault="00426ADD" w:rsidP="006F79F6">
      <w:pPr>
        <w:rPr>
          <w:rFonts w:ascii="Arial" w:hAnsi="Arial" w:cs="Arial"/>
          <w:b/>
          <w:bCs/>
          <w:sz w:val="32"/>
          <w:szCs w:val="32"/>
          <w:lang w:val="es-ES"/>
        </w:rPr>
      </w:pPr>
      <w:r w:rsidRPr="006F79F6">
        <w:rPr>
          <w:rFonts w:ascii="Arial" w:hAnsi="Arial" w:cs="Arial"/>
          <w:b/>
          <w:bCs/>
          <w:sz w:val="32"/>
          <w:szCs w:val="32"/>
          <w:lang w:val="es-ES"/>
        </w:rPr>
        <w:t>Cuadro sinóptico #</w:t>
      </w:r>
      <w:r w:rsidR="00BC04F6">
        <w:rPr>
          <w:rFonts w:ascii="Arial" w:hAnsi="Arial" w:cs="Arial"/>
          <w:b/>
          <w:bCs/>
          <w:sz w:val="32"/>
          <w:szCs w:val="32"/>
          <w:lang w:val="es-ES"/>
        </w:rPr>
        <w:t>5</w:t>
      </w:r>
    </w:p>
    <w:p w14:paraId="14540B30" w14:textId="773DE33C" w:rsidR="00E12281" w:rsidRDefault="00E12281" w:rsidP="006F79F6">
      <w:pPr>
        <w:rPr>
          <w:rFonts w:ascii="Arial" w:hAnsi="Arial" w:cs="Arial"/>
          <w:b/>
          <w:bCs/>
          <w:lang w:val="es-ES"/>
        </w:rPr>
      </w:pPr>
    </w:p>
    <w:p w14:paraId="6D88655F" w14:textId="1E0804C6" w:rsidR="00BC04F6" w:rsidRPr="00BC04F6" w:rsidRDefault="00BC04F6" w:rsidP="00BC04F6">
      <w:pPr>
        <w:pStyle w:val="Prrafodelista"/>
        <w:numPr>
          <w:ilvl w:val="0"/>
          <w:numId w:val="4"/>
        </w:numPr>
        <w:spacing w:after="360"/>
        <w:contextualSpacing w:val="0"/>
        <w:rPr>
          <w:rFonts w:ascii="Arial" w:hAnsi="Arial" w:cs="Arial"/>
          <w:lang w:val="es-ES"/>
        </w:rPr>
      </w:pPr>
      <w:r w:rsidRPr="00BC04F6">
        <w:rPr>
          <w:rFonts w:ascii="Arial" w:hAnsi="Arial" w:cs="Arial"/>
          <w:lang w:val="es-ES"/>
        </w:rPr>
        <w:t>Demanda</w:t>
      </w:r>
    </w:p>
    <w:p w14:paraId="0BEB1F40" w14:textId="5AA53221" w:rsidR="00BC04F6" w:rsidRPr="00BC04F6" w:rsidRDefault="00BC04F6" w:rsidP="00BC04F6">
      <w:pPr>
        <w:pStyle w:val="Prrafodelista"/>
        <w:numPr>
          <w:ilvl w:val="0"/>
          <w:numId w:val="4"/>
        </w:numPr>
        <w:spacing w:after="360"/>
        <w:contextualSpacing w:val="0"/>
        <w:rPr>
          <w:rFonts w:ascii="Arial" w:hAnsi="Arial" w:cs="Arial"/>
          <w:lang w:val="es-ES"/>
        </w:rPr>
      </w:pPr>
      <w:r w:rsidRPr="00BC04F6">
        <w:rPr>
          <w:rFonts w:ascii="Arial" w:hAnsi="Arial" w:cs="Arial"/>
          <w:lang w:val="es-ES"/>
        </w:rPr>
        <w:t>Traslado. Notificación por cédula. No se admite la modalidad “bajo responsabilidad de parte actora”</w:t>
      </w:r>
    </w:p>
    <w:p w14:paraId="52C1D57E" w14:textId="72978EE1" w:rsidR="00BC04F6" w:rsidRPr="00BC04F6" w:rsidRDefault="00BC04F6" w:rsidP="00BC04F6">
      <w:pPr>
        <w:pStyle w:val="Prrafodelista"/>
        <w:numPr>
          <w:ilvl w:val="0"/>
          <w:numId w:val="4"/>
        </w:numPr>
        <w:spacing w:after="360"/>
        <w:contextualSpacing w:val="0"/>
        <w:rPr>
          <w:rFonts w:ascii="Arial" w:hAnsi="Arial" w:cs="Arial"/>
          <w:lang w:val="es-ES"/>
        </w:rPr>
      </w:pPr>
      <w:r w:rsidRPr="00BC04F6">
        <w:rPr>
          <w:rFonts w:ascii="Arial" w:hAnsi="Arial" w:cs="Arial"/>
          <w:lang w:val="es-ES"/>
        </w:rPr>
        <w:t>Con el traslado de la demanda, a más tardar, se debe ordenar (aun de oficio) la anotación de litis (art 1905 CCCN)</w:t>
      </w:r>
    </w:p>
    <w:p w14:paraId="2CCA0E98" w14:textId="17CD10CE" w:rsidR="00BC04F6" w:rsidRDefault="00BC04F6" w:rsidP="00BC04F6">
      <w:pPr>
        <w:pStyle w:val="Prrafodelista"/>
        <w:numPr>
          <w:ilvl w:val="0"/>
          <w:numId w:val="4"/>
        </w:numPr>
        <w:spacing w:after="360"/>
        <w:contextualSpacing w:val="0"/>
        <w:rPr>
          <w:rFonts w:ascii="Arial" w:hAnsi="Arial" w:cs="Arial"/>
          <w:lang w:val="es-ES"/>
        </w:rPr>
      </w:pPr>
      <w:r w:rsidRPr="00BC04F6">
        <w:rPr>
          <w:rFonts w:ascii="Arial" w:hAnsi="Arial" w:cs="Arial"/>
          <w:lang w:val="es-ES"/>
        </w:rPr>
        <w:t>Alternativas del demandado:</w:t>
      </w:r>
    </w:p>
    <w:p w14:paraId="119876C6" w14:textId="77777777" w:rsidR="00BC04F6" w:rsidRPr="00BC04F6" w:rsidRDefault="00BC04F6" w:rsidP="00BC04F6">
      <w:pPr>
        <w:pStyle w:val="Prrafodelista"/>
        <w:numPr>
          <w:ilvl w:val="1"/>
          <w:numId w:val="4"/>
        </w:numPr>
        <w:spacing w:after="360"/>
        <w:contextualSpacing w:val="0"/>
        <w:rPr>
          <w:rFonts w:ascii="Arial" w:hAnsi="Arial" w:cs="Arial"/>
          <w:lang w:val="es-ES"/>
        </w:rPr>
      </w:pPr>
      <w:r w:rsidRPr="00BC04F6">
        <w:rPr>
          <w:rFonts w:ascii="Arial" w:hAnsi="Arial" w:cs="Arial"/>
          <w:lang w:val="es-ES"/>
        </w:rPr>
        <w:t>No contestar demanda: rebeldía</w:t>
      </w:r>
    </w:p>
    <w:p w14:paraId="21113C82" w14:textId="77777777" w:rsidR="00BC04F6" w:rsidRPr="00BC04F6" w:rsidRDefault="00BC04F6" w:rsidP="00BC04F6">
      <w:pPr>
        <w:pStyle w:val="Prrafodelista"/>
        <w:numPr>
          <w:ilvl w:val="1"/>
          <w:numId w:val="4"/>
        </w:numPr>
        <w:spacing w:after="360"/>
        <w:contextualSpacing w:val="0"/>
        <w:rPr>
          <w:rFonts w:ascii="Arial" w:hAnsi="Arial" w:cs="Arial"/>
          <w:lang w:val="es-ES"/>
        </w:rPr>
      </w:pPr>
      <w:r w:rsidRPr="00BC04F6">
        <w:rPr>
          <w:rFonts w:ascii="Arial" w:hAnsi="Arial" w:cs="Arial"/>
          <w:lang w:val="es-ES"/>
        </w:rPr>
        <w:t>Contestar la demanda (oponerse)</w:t>
      </w:r>
    </w:p>
    <w:p w14:paraId="2D4B1202" w14:textId="77777777" w:rsidR="00BC04F6" w:rsidRPr="00BC04F6" w:rsidRDefault="00BC04F6" w:rsidP="00BC04F6">
      <w:pPr>
        <w:pStyle w:val="Prrafodelista"/>
        <w:numPr>
          <w:ilvl w:val="1"/>
          <w:numId w:val="4"/>
        </w:numPr>
        <w:spacing w:after="360"/>
        <w:contextualSpacing w:val="0"/>
        <w:rPr>
          <w:rFonts w:ascii="Arial" w:hAnsi="Arial" w:cs="Arial"/>
          <w:lang w:val="es-ES"/>
        </w:rPr>
      </w:pPr>
      <w:r w:rsidRPr="00BC04F6">
        <w:rPr>
          <w:rFonts w:ascii="Arial" w:hAnsi="Arial" w:cs="Arial"/>
          <w:lang w:val="es-ES"/>
        </w:rPr>
        <w:t>y también oponer excepciones</w:t>
      </w:r>
    </w:p>
    <w:p w14:paraId="33FE94D8" w14:textId="77777777" w:rsidR="00BC04F6" w:rsidRPr="00BC04F6" w:rsidRDefault="00BC04F6" w:rsidP="00BC04F6">
      <w:pPr>
        <w:pStyle w:val="Prrafodelista"/>
        <w:numPr>
          <w:ilvl w:val="1"/>
          <w:numId w:val="4"/>
        </w:numPr>
        <w:spacing w:after="360"/>
        <w:contextualSpacing w:val="0"/>
        <w:rPr>
          <w:rFonts w:ascii="Arial" w:hAnsi="Arial" w:cs="Arial"/>
          <w:lang w:val="es-ES"/>
        </w:rPr>
      </w:pPr>
      <w:r w:rsidRPr="00BC04F6">
        <w:rPr>
          <w:rFonts w:ascii="Arial" w:hAnsi="Arial" w:cs="Arial"/>
          <w:lang w:val="es-ES"/>
        </w:rPr>
        <w:t>y también reconvenir</w:t>
      </w:r>
    </w:p>
    <w:p w14:paraId="7364D231" w14:textId="399133DC" w:rsidR="00BC04F6" w:rsidRDefault="00BC04F6" w:rsidP="00BC04F6">
      <w:pPr>
        <w:pStyle w:val="Prrafodelista"/>
        <w:numPr>
          <w:ilvl w:val="1"/>
          <w:numId w:val="4"/>
        </w:numPr>
        <w:spacing w:after="360"/>
        <w:contextualSpacing w:val="0"/>
        <w:rPr>
          <w:rFonts w:ascii="Arial" w:hAnsi="Arial" w:cs="Arial"/>
          <w:lang w:val="es-ES"/>
        </w:rPr>
      </w:pPr>
      <w:r w:rsidRPr="00BC04F6">
        <w:rPr>
          <w:rFonts w:ascii="Arial" w:hAnsi="Arial" w:cs="Arial"/>
          <w:lang w:val="es-ES"/>
        </w:rPr>
        <w:t>allanarse y solicitar eximición</w:t>
      </w:r>
      <w:r>
        <w:rPr>
          <w:rFonts w:ascii="Arial" w:hAnsi="Arial" w:cs="Arial"/>
          <w:lang w:val="es-ES"/>
        </w:rPr>
        <w:t xml:space="preserve"> </w:t>
      </w:r>
      <w:r w:rsidRPr="00BC04F6">
        <w:rPr>
          <w:rFonts w:ascii="Arial" w:hAnsi="Arial" w:cs="Arial"/>
          <w:lang w:val="es-ES"/>
        </w:rPr>
        <w:t>de costas o costas por su orden.</w:t>
      </w:r>
    </w:p>
    <w:p w14:paraId="27207ABF" w14:textId="6D5377FD" w:rsidR="00BC04F6" w:rsidRPr="00BC04F6" w:rsidRDefault="00BC04F6" w:rsidP="00BC04F6">
      <w:pPr>
        <w:pStyle w:val="Prrafodelista"/>
        <w:numPr>
          <w:ilvl w:val="0"/>
          <w:numId w:val="4"/>
        </w:numPr>
        <w:spacing w:after="360"/>
        <w:contextualSpacing w:val="0"/>
        <w:rPr>
          <w:rFonts w:ascii="Arial" w:hAnsi="Arial" w:cs="Arial"/>
          <w:lang w:val="es-ES"/>
        </w:rPr>
      </w:pPr>
      <w:r w:rsidRPr="00BC04F6">
        <w:rPr>
          <w:rFonts w:ascii="Arial" w:hAnsi="Arial" w:cs="Arial"/>
          <w:lang w:val="es-ES"/>
        </w:rPr>
        <w:t xml:space="preserve"> En caso de </w:t>
      </w:r>
      <w:r w:rsidRPr="00BC04F6">
        <w:rPr>
          <w:rFonts w:ascii="Arial" w:hAnsi="Arial" w:cs="Arial"/>
          <w:lang w:val="es-ES"/>
        </w:rPr>
        <w:t>reconvención (</w:t>
      </w:r>
      <w:r w:rsidRPr="00BC04F6">
        <w:rPr>
          <w:rFonts w:ascii="Arial" w:hAnsi="Arial" w:cs="Arial"/>
          <w:lang w:val="es-ES"/>
        </w:rPr>
        <w:t xml:space="preserve">por reivindicación y/o daños y perjuicios) se </w:t>
      </w:r>
      <w:r w:rsidRPr="00BC04F6">
        <w:rPr>
          <w:rFonts w:ascii="Arial" w:hAnsi="Arial" w:cs="Arial"/>
          <w:lang w:val="es-ES"/>
        </w:rPr>
        <w:t>dará</w:t>
      </w:r>
      <w:r w:rsidRPr="00BC04F6">
        <w:rPr>
          <w:rFonts w:ascii="Arial" w:hAnsi="Arial" w:cs="Arial"/>
          <w:lang w:val="es-ES"/>
        </w:rPr>
        <w:t xml:space="preserve"> traslado al actor(usucapiente) por 10 </w:t>
      </w:r>
      <w:r w:rsidRPr="00BC04F6">
        <w:rPr>
          <w:rFonts w:ascii="Arial" w:hAnsi="Arial" w:cs="Arial"/>
          <w:lang w:val="es-ES"/>
        </w:rPr>
        <w:t>días</w:t>
      </w:r>
      <w:r w:rsidRPr="00BC04F6">
        <w:rPr>
          <w:rFonts w:ascii="Arial" w:hAnsi="Arial" w:cs="Arial"/>
          <w:lang w:val="es-ES"/>
        </w:rPr>
        <w:t xml:space="preserve">, </w:t>
      </w:r>
      <w:r w:rsidRPr="00BC04F6">
        <w:rPr>
          <w:rFonts w:ascii="Arial" w:hAnsi="Arial" w:cs="Arial"/>
          <w:lang w:val="es-ES"/>
        </w:rPr>
        <w:t>quien a su vez podrá:</w:t>
      </w:r>
    </w:p>
    <w:p w14:paraId="59216814" w14:textId="04D000CA" w:rsidR="00BC04F6" w:rsidRPr="00BC04F6" w:rsidRDefault="00BC04F6" w:rsidP="00BC04F6">
      <w:pPr>
        <w:pStyle w:val="Prrafodelista"/>
        <w:numPr>
          <w:ilvl w:val="1"/>
          <w:numId w:val="3"/>
        </w:numPr>
        <w:spacing w:after="360"/>
        <w:contextualSpacing w:val="0"/>
        <w:rPr>
          <w:rFonts w:ascii="Arial" w:hAnsi="Arial" w:cs="Arial"/>
          <w:lang w:val="es-ES"/>
        </w:rPr>
      </w:pPr>
      <w:r w:rsidRPr="00BC04F6">
        <w:rPr>
          <w:rFonts w:ascii="Arial" w:hAnsi="Arial" w:cs="Arial"/>
          <w:lang w:val="es-ES"/>
        </w:rPr>
        <w:t>Oponerse negando.</w:t>
      </w:r>
    </w:p>
    <w:p w14:paraId="71A2AAC5" w14:textId="45F27A47" w:rsidR="00BC04F6" w:rsidRPr="00BC04F6" w:rsidRDefault="00BC04F6" w:rsidP="00BC04F6">
      <w:pPr>
        <w:pStyle w:val="Prrafodelista"/>
        <w:numPr>
          <w:ilvl w:val="1"/>
          <w:numId w:val="3"/>
        </w:numPr>
        <w:spacing w:after="360"/>
        <w:contextualSpacing w:val="0"/>
        <w:rPr>
          <w:rFonts w:ascii="Arial" w:hAnsi="Arial" w:cs="Arial"/>
          <w:lang w:val="es-ES"/>
        </w:rPr>
      </w:pPr>
      <w:r w:rsidRPr="00BC04F6">
        <w:rPr>
          <w:rFonts w:ascii="Arial" w:hAnsi="Arial" w:cs="Arial"/>
          <w:lang w:val="es-ES"/>
        </w:rPr>
        <w:t xml:space="preserve">Articular alguna posible nulidad del </w:t>
      </w:r>
      <w:r w:rsidRPr="00BC04F6">
        <w:rPr>
          <w:rFonts w:ascii="Arial" w:hAnsi="Arial" w:cs="Arial"/>
          <w:lang w:val="es-ES"/>
        </w:rPr>
        <w:t>título</w:t>
      </w:r>
      <w:r w:rsidRPr="00BC04F6">
        <w:rPr>
          <w:rFonts w:ascii="Arial" w:hAnsi="Arial" w:cs="Arial"/>
          <w:lang w:val="es-ES"/>
        </w:rPr>
        <w:t xml:space="preserve"> del titular</w:t>
      </w:r>
    </w:p>
    <w:p w14:paraId="087E29CD" w14:textId="1E6FC1A7" w:rsidR="00BC04F6" w:rsidRPr="00BC04F6" w:rsidRDefault="00BC04F6" w:rsidP="00BC04F6">
      <w:pPr>
        <w:pStyle w:val="Prrafodelista"/>
        <w:numPr>
          <w:ilvl w:val="1"/>
          <w:numId w:val="3"/>
        </w:numPr>
        <w:spacing w:after="360"/>
        <w:contextualSpacing w:val="0"/>
        <w:rPr>
          <w:rFonts w:ascii="Arial" w:hAnsi="Arial" w:cs="Arial"/>
          <w:lang w:val="es-ES"/>
        </w:rPr>
      </w:pPr>
      <w:r w:rsidRPr="00BC04F6">
        <w:rPr>
          <w:rFonts w:ascii="Arial" w:hAnsi="Arial" w:cs="Arial"/>
          <w:lang w:val="es-ES"/>
        </w:rPr>
        <w:t>Solicitando cobro de mejoras, edificaciones</w:t>
      </w:r>
    </w:p>
    <w:p w14:paraId="6B16560B" w14:textId="32488339" w:rsidR="00BC04F6" w:rsidRPr="00BC04F6" w:rsidRDefault="00BC04F6" w:rsidP="00BC04F6">
      <w:pPr>
        <w:pStyle w:val="Prrafodelista"/>
        <w:numPr>
          <w:ilvl w:val="1"/>
          <w:numId w:val="3"/>
        </w:numPr>
        <w:spacing w:after="360"/>
        <w:contextualSpacing w:val="0"/>
        <w:rPr>
          <w:rFonts w:ascii="Arial" w:hAnsi="Arial" w:cs="Arial"/>
          <w:lang w:val="es-ES"/>
        </w:rPr>
      </w:pPr>
      <w:r w:rsidRPr="00BC04F6">
        <w:rPr>
          <w:rFonts w:ascii="Arial" w:hAnsi="Arial" w:cs="Arial"/>
          <w:lang w:val="es-ES"/>
        </w:rPr>
        <w:t xml:space="preserve">Esgrimiendo derecho de </w:t>
      </w:r>
      <w:r w:rsidRPr="00BC04F6">
        <w:rPr>
          <w:rFonts w:ascii="Arial" w:hAnsi="Arial" w:cs="Arial"/>
          <w:lang w:val="es-ES"/>
        </w:rPr>
        <w:t>retención (</w:t>
      </w:r>
      <w:r w:rsidRPr="00BC04F6">
        <w:rPr>
          <w:rFonts w:ascii="Arial" w:hAnsi="Arial" w:cs="Arial"/>
          <w:lang w:val="es-ES"/>
        </w:rPr>
        <w:t>art 2588 CCCN)</w:t>
      </w:r>
    </w:p>
    <w:p w14:paraId="25252398" w14:textId="33955D19" w:rsidR="00BC04F6" w:rsidRPr="00BC04F6" w:rsidRDefault="00BC04F6" w:rsidP="00BC04F6">
      <w:pPr>
        <w:pStyle w:val="Prrafodelista"/>
        <w:numPr>
          <w:ilvl w:val="0"/>
          <w:numId w:val="4"/>
        </w:numPr>
        <w:spacing w:after="360"/>
        <w:contextualSpacing w:val="0"/>
        <w:rPr>
          <w:rFonts w:ascii="Arial" w:hAnsi="Arial" w:cs="Arial"/>
          <w:lang w:val="es-ES"/>
        </w:rPr>
      </w:pPr>
      <w:r w:rsidRPr="00BC04F6">
        <w:rPr>
          <w:rFonts w:ascii="Arial" w:hAnsi="Arial" w:cs="Arial"/>
          <w:lang w:val="es-ES"/>
        </w:rPr>
        <w:t>En cualquiera de todos los casos anteriores, se impondrá la apertura de la causa a prueba.</w:t>
      </w:r>
    </w:p>
    <w:p w14:paraId="63401ECC" w14:textId="1CD332BF" w:rsidR="00AD3BAA" w:rsidRPr="00BC04F6" w:rsidRDefault="00AD3BAA" w:rsidP="00BC04F6">
      <w:pPr>
        <w:spacing w:after="240" w:line="360" w:lineRule="auto"/>
        <w:rPr>
          <w:rFonts w:ascii="Arial" w:hAnsi="Arial" w:cs="Arial"/>
          <w:lang w:val="es-ES"/>
        </w:rPr>
      </w:pPr>
    </w:p>
    <w:sectPr w:rsidR="00AD3BAA" w:rsidRPr="00BC04F6" w:rsidSect="006F79F6">
      <w:pgSz w:w="11906" w:h="16838" w:code="9"/>
      <w:pgMar w:top="1701" w:right="1700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252C"/>
    <w:multiLevelType w:val="hybridMultilevel"/>
    <w:tmpl w:val="5F584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F2C3B"/>
    <w:multiLevelType w:val="hybridMultilevel"/>
    <w:tmpl w:val="35B4BBC2"/>
    <w:lvl w:ilvl="0" w:tplc="04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" w15:restartNumberingAfterBreak="0">
    <w:nsid w:val="44C87512"/>
    <w:multiLevelType w:val="hybridMultilevel"/>
    <w:tmpl w:val="54746336"/>
    <w:lvl w:ilvl="0" w:tplc="9DFA236C">
      <w:numFmt w:val="bullet"/>
      <w:lvlText w:val="-"/>
      <w:lvlJc w:val="left"/>
      <w:pPr>
        <w:ind w:left="2136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5DB704A4"/>
    <w:multiLevelType w:val="hybridMultilevel"/>
    <w:tmpl w:val="2BF263C0"/>
    <w:lvl w:ilvl="0" w:tplc="8018AF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235618">
    <w:abstractNumId w:val="1"/>
  </w:num>
  <w:num w:numId="2" w16cid:durableId="1338070270">
    <w:abstractNumId w:val="2"/>
  </w:num>
  <w:num w:numId="3" w16cid:durableId="1464350837">
    <w:abstractNumId w:val="0"/>
  </w:num>
  <w:num w:numId="4" w16cid:durableId="1588879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81"/>
    <w:rsid w:val="000624BE"/>
    <w:rsid w:val="000E2F2C"/>
    <w:rsid w:val="00386598"/>
    <w:rsid w:val="00426ADD"/>
    <w:rsid w:val="00594F61"/>
    <w:rsid w:val="006F79F6"/>
    <w:rsid w:val="006F7AC6"/>
    <w:rsid w:val="007471D5"/>
    <w:rsid w:val="007D63E1"/>
    <w:rsid w:val="00874BEA"/>
    <w:rsid w:val="00AD3BAA"/>
    <w:rsid w:val="00B349A3"/>
    <w:rsid w:val="00BC04F6"/>
    <w:rsid w:val="00BD5FE4"/>
    <w:rsid w:val="00BE1783"/>
    <w:rsid w:val="00E12281"/>
    <w:rsid w:val="00EB2D43"/>
    <w:rsid w:val="00F9675C"/>
    <w:rsid w:val="00F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480C"/>
  <w15:chartTrackingRefBased/>
  <w15:docId w15:val="{CFAE7600-2E57-4734-B495-1A85CDBB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Grilli</dc:creator>
  <cp:keywords/>
  <dc:description/>
  <cp:lastModifiedBy>joaquin garcia alonso</cp:lastModifiedBy>
  <cp:revision>3</cp:revision>
  <dcterms:created xsi:type="dcterms:W3CDTF">2023-05-31T20:08:00Z</dcterms:created>
  <dcterms:modified xsi:type="dcterms:W3CDTF">2023-05-31T20:28:00Z</dcterms:modified>
</cp:coreProperties>
</file>